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atLeast"/>
        <w:ind w:firstLine="723" w:firstLineChars="200"/>
        <w:jc w:val="center"/>
        <w:rPr>
          <w:rFonts w:ascii="宋体" w:hAnsi="宋体" w:cs="宋体"/>
          <w:b/>
          <w:sz w:val="30"/>
          <w:szCs w:val="30"/>
          <w:highlight w:val="none"/>
        </w:rPr>
      </w:pPr>
      <w:r>
        <w:rPr>
          <w:rFonts w:hint="eastAsia" w:ascii="宋体" w:hAnsi="宋体" w:cs="宋体"/>
          <w:b/>
          <w:bCs/>
          <w:sz w:val="36"/>
          <w:szCs w:val="22"/>
          <w:highlight w:val="none"/>
          <w:lang w:eastAsia="zh-CN"/>
        </w:rPr>
        <w:t>询价</w:t>
      </w:r>
      <w:r>
        <w:rPr>
          <w:rFonts w:hint="eastAsia" w:ascii="宋体" w:hAnsi="宋体" w:cs="宋体"/>
          <w:b/>
          <w:bCs/>
          <w:sz w:val="36"/>
          <w:szCs w:val="22"/>
          <w:highlight w:val="none"/>
        </w:rPr>
        <w:t>内容及要求</w:t>
      </w:r>
    </w:p>
    <w:p>
      <w:pPr>
        <w:widowControl/>
        <w:ind w:firstLine="422" w:firstLineChars="200"/>
        <w:jc w:val="left"/>
        <w:rPr>
          <w:rFonts w:ascii="宋体" w:hAnsi="宋体" w:cs="宋体"/>
          <w:szCs w:val="21"/>
          <w:highlight w:val="none"/>
        </w:rPr>
      </w:pPr>
      <w:r>
        <w:rPr>
          <w:rFonts w:hint="eastAsia" w:ascii="宋体" w:hAnsi="宋体" w:cs="宋体"/>
          <w:b/>
          <w:szCs w:val="21"/>
          <w:highlight w:val="none"/>
        </w:rPr>
        <w:t xml:space="preserve">     </w:t>
      </w:r>
    </w:p>
    <w:p>
      <w:pPr>
        <w:spacing w:line="440" w:lineRule="exact"/>
        <w:rPr>
          <w:rFonts w:ascii="宋体" w:hAnsi="宋体" w:cs="宋体"/>
          <w:b/>
          <w:bCs/>
          <w:sz w:val="24"/>
          <w:szCs w:val="24"/>
          <w:highlight w:val="none"/>
        </w:rPr>
      </w:pPr>
      <w:r>
        <w:rPr>
          <w:rFonts w:hint="eastAsia" w:ascii="宋体" w:hAnsi="宋体" w:cs="宋体"/>
          <w:b/>
          <w:bCs/>
          <w:sz w:val="24"/>
          <w:szCs w:val="24"/>
          <w:highlight w:val="none"/>
        </w:rPr>
        <w:t>一、项目概况</w:t>
      </w:r>
    </w:p>
    <w:p>
      <w:pPr>
        <w:spacing w:line="440" w:lineRule="exact"/>
        <w:ind w:firstLine="420" w:firstLineChars="200"/>
        <w:rPr>
          <w:rFonts w:ascii="宋体" w:hAnsi="宋体" w:cs="宋体"/>
          <w:szCs w:val="21"/>
          <w:highlight w:val="none"/>
        </w:rPr>
      </w:pPr>
      <w:r>
        <w:rPr>
          <w:rFonts w:hint="eastAsia" w:ascii="宋体" w:hAnsi="宋体" w:eastAsia="宋体" w:cs="宋体"/>
          <w:szCs w:val="21"/>
          <w:highlight w:val="none"/>
          <w:lang w:eastAsia="zh-CN"/>
        </w:rPr>
        <w:t>为保障本中心科技项目</w:t>
      </w:r>
      <w:r>
        <w:rPr>
          <w:rFonts w:hint="eastAsia" w:ascii="宋体" w:hAnsi="宋体" w:eastAsia="宋体" w:cs="宋体"/>
          <w:szCs w:val="21"/>
          <w:highlight w:val="none"/>
          <w:lang w:val="en-US" w:eastAsia="zh-CN"/>
        </w:rPr>
        <w:t>《面向测绘质检的软件集成管理及质量信息分析应用系统》顺利实施</w:t>
      </w:r>
      <w:r>
        <w:rPr>
          <w:rFonts w:hint="eastAsia" w:ascii="宋体" w:hAnsi="宋体" w:cs="宋体"/>
          <w:szCs w:val="21"/>
          <w:highlight w:val="none"/>
          <w:lang w:eastAsia="zh-CN"/>
        </w:rPr>
        <w:t>，确保该科技项目高质量圆满完成。现拟询价采购一家具有软件开发能力的服务商作为项目技术支撑单位，负责项目相关系统功能开发。本项目采用询价采购用于确定成交人，成交后双方再行约定相关具体要求</w:t>
      </w:r>
      <w:r>
        <w:rPr>
          <w:rFonts w:hint="eastAsia" w:ascii="宋体" w:hAnsi="宋体" w:cs="宋体"/>
          <w:szCs w:val="21"/>
          <w:highlight w:val="none"/>
        </w:rPr>
        <w:t>。</w:t>
      </w:r>
    </w:p>
    <w:p>
      <w:pPr>
        <w:numPr>
          <w:ilvl w:val="0"/>
          <w:numId w:val="1"/>
        </w:numPr>
        <w:spacing w:line="440" w:lineRule="exact"/>
        <w:rPr>
          <w:rFonts w:ascii="宋体" w:hAnsi="宋体" w:cs="宋体"/>
          <w:b/>
          <w:bCs/>
          <w:sz w:val="24"/>
          <w:szCs w:val="24"/>
          <w:highlight w:val="none"/>
        </w:rPr>
      </w:pPr>
      <w:r>
        <w:rPr>
          <w:rFonts w:hint="eastAsia" w:ascii="宋体" w:hAnsi="宋体" w:cs="宋体"/>
          <w:b/>
          <w:bCs/>
          <w:sz w:val="24"/>
          <w:szCs w:val="24"/>
          <w:highlight w:val="none"/>
        </w:rPr>
        <w:t>技术和服务要求</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1.服务商所提供的技术服务应满足下述要求，</w:t>
      </w:r>
      <w:r>
        <w:rPr>
          <w:rFonts w:hint="eastAsia" w:ascii="宋体" w:hAnsi="宋体" w:cs="宋体"/>
          <w:szCs w:val="21"/>
          <w:highlight w:val="none"/>
          <w:lang w:eastAsia="zh-CN"/>
        </w:rPr>
        <w:t>系统开发</w:t>
      </w:r>
      <w:r>
        <w:rPr>
          <w:rFonts w:hint="eastAsia" w:hAnsi="宋体" w:cs="宋体"/>
          <w:kern w:val="2"/>
          <w:sz w:val="21"/>
          <w:szCs w:val="22"/>
          <w:highlight w:val="none"/>
          <w:lang w:val="en-US" w:eastAsia="zh-CN" w:bidi="ar-SA"/>
        </w:rPr>
        <w:t>能够保证实现各功能模块（成交服务商提供的技术服务不满足本条款要求的</w:t>
      </w:r>
      <w:r>
        <w:rPr>
          <w:rFonts w:hint="eastAsia" w:ascii="Times New Roman" w:hAnsi="宋体" w:eastAsia="宋体" w:cs="宋体"/>
          <w:kern w:val="2"/>
          <w:sz w:val="21"/>
          <w:szCs w:val="22"/>
          <w:highlight w:val="none"/>
          <w:lang w:val="en-US" w:eastAsia="zh-CN" w:bidi="ar-SA"/>
        </w:rPr>
        <w:t>，采购人将拒绝验收，由此带来的一切损失将由成交供应商负责。）</w:t>
      </w:r>
      <w:r>
        <w:rPr>
          <w:rFonts w:hint="eastAsia" w:hAnsi="宋体" w:cs="宋体"/>
          <w:kern w:val="2"/>
          <w:sz w:val="18"/>
          <w:szCs w:val="18"/>
          <w:highlight w:val="none"/>
          <w:lang w:val="en-US" w:eastAsia="zh-CN" w:bidi="ar-SA"/>
        </w:rPr>
        <w:t>：</w:t>
      </w:r>
      <w:r>
        <w:rPr>
          <w:rFonts w:hint="eastAsia" w:hAnsi="宋体" w:cs="宋体"/>
          <w:kern w:val="2"/>
          <w:sz w:val="18"/>
          <w:szCs w:val="18"/>
          <w:highlight w:val="none"/>
          <w:lang w:val="en-US" w:eastAsia="zh-CN" w:bidi="ar-SA"/>
        </w:rPr>
        <w:br w:type="textWrapping"/>
      </w:r>
      <w:r>
        <w:rPr>
          <w:rFonts w:hint="eastAsia" w:hAnsi="宋体" w:cs="宋体"/>
          <w:kern w:val="2"/>
          <w:sz w:val="21"/>
          <w:szCs w:val="22"/>
          <w:highlight w:val="none"/>
          <w:lang w:val="en-US" w:eastAsia="zh-CN" w:bidi="ar-SA"/>
        </w:rPr>
        <w:tab/>
      </w:r>
      <w:r>
        <w:rPr>
          <w:rFonts w:hint="eastAsia" w:hAnsi="宋体" w:cs="宋体"/>
          <w:b/>
          <w:bCs/>
          <w:kern w:val="2"/>
          <w:sz w:val="21"/>
          <w:szCs w:val="22"/>
          <w:highlight w:val="none"/>
          <w:lang w:val="en-US" w:eastAsia="zh-CN" w:bidi="ar-SA"/>
        </w:rPr>
        <w:t>1.1测绘质检软件综合管理模块</w:t>
      </w:r>
      <w:r>
        <w:rPr>
          <w:rFonts w:hint="eastAsia" w:hAnsi="宋体" w:cs="宋体"/>
          <w:kern w:val="2"/>
          <w:sz w:val="21"/>
          <w:szCs w:val="22"/>
          <w:highlight w:val="none"/>
          <w:lang w:val="en-US" w:eastAsia="zh-CN" w:bidi="ar-SA"/>
        </w:rPr>
        <w:t>：基于“一入口+N模块”集成化架构，实现常用质检软件的集中管理、快速调用和统一监控。</w:t>
      </w:r>
      <w:r>
        <w:rPr>
          <w:rFonts w:hint="eastAsia" w:hAnsi="宋体" w:cs="宋体"/>
          <w:kern w:val="2"/>
          <w:sz w:val="21"/>
          <w:szCs w:val="22"/>
          <w:highlight w:val="none"/>
          <w:lang w:val="en-US" w:eastAsia="zh-CN" w:bidi="ar-SA"/>
        </w:rPr>
        <w:br w:type="textWrapping"/>
      </w:r>
      <w:r>
        <w:rPr>
          <w:rFonts w:hint="eastAsia" w:hAnsi="宋体" w:cs="宋体"/>
          <w:kern w:val="2"/>
          <w:sz w:val="21"/>
          <w:szCs w:val="22"/>
          <w:highlight w:val="none"/>
          <w:lang w:val="en-US" w:eastAsia="zh-CN" w:bidi="ar-SA"/>
        </w:rPr>
        <w:t xml:space="preserve"> </w:t>
      </w:r>
      <w:r>
        <w:rPr>
          <w:rFonts w:hint="eastAsia" w:hAnsi="宋体" w:cs="宋体"/>
          <w:kern w:val="2"/>
          <w:sz w:val="21"/>
          <w:szCs w:val="22"/>
          <w:highlight w:val="none"/>
          <w:lang w:val="en-US" w:eastAsia="zh-CN" w:bidi="ar-SA"/>
        </w:rPr>
        <w:tab/>
      </w:r>
      <w:r>
        <w:rPr>
          <w:rFonts w:hint="eastAsia" w:hAnsi="宋体" w:cs="宋体"/>
          <w:kern w:val="2"/>
          <w:sz w:val="21"/>
          <w:szCs w:val="22"/>
          <w:highlight w:val="none"/>
          <w:lang w:val="en-US" w:eastAsia="zh-CN" w:bidi="ar-SA"/>
        </w:rPr>
        <w:t>1.1.1智能软件检测：具备注册表自动扫描、常用测绘软件兼容识别（ArcGIS系列、DasViewer、南方CASS、数据库质检软件等）、自定义扫描规则（文件路径、注册表键值、可执行文件特征等多维度识别）等功能。</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1.1.2软件仓库管理：具备已安装软件列表展示（软件名称、版本、安装路径、安装日期等）、软件分类管理（按适配产品类型或功能定位分类）、运行状态监控（实时显示运行状态、监控资源占用）等功能。</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1.1.3快速启动中心：具备软件一键启动、快捷键操作、启动参数配置（预设启动参数和工作环境）等功能。</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b/>
          <w:bCs/>
          <w:kern w:val="2"/>
          <w:sz w:val="21"/>
          <w:szCs w:val="22"/>
          <w:highlight w:val="none"/>
          <w:lang w:val="en-US" w:eastAsia="zh-CN" w:bidi="ar-SA"/>
        </w:rPr>
        <w:t>1.2测绘质检信息智能分析模块</w:t>
      </w:r>
      <w:r>
        <w:rPr>
          <w:rFonts w:hint="eastAsia" w:hAnsi="宋体" w:cs="宋体"/>
          <w:kern w:val="2"/>
          <w:sz w:val="21"/>
          <w:szCs w:val="22"/>
          <w:highlight w:val="none"/>
          <w:lang w:val="en-US" w:eastAsia="zh-CN" w:bidi="ar-SA"/>
        </w:rPr>
        <w:t>：支持质检信息数据的结构化存储、多维度分析、智能化预警、辅助性决策等功能。</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1.2.1质量信息结构化建库与管理：具备质量检查记录上传、格式转换、存储与规范化管理等功能，对错漏类型、错漏级别等信息进行标准化处理。</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1.2.2多维度统计分析：具备按项目批次、成果类型、地市区域、作业单位等多要素自动统计与分析功能，可动态生成统计报表与分析图表，直观呈现成果质量优劣分析、高频问题类型及质量变化趋势等。</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1.2.3智能化汇总筛选：具备用户自定义筛选条件、多维度组合查询等功能，可快速定位特定区域、特定单位或特定成果类型的质量问题集中点。</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1.2.4质检预警与风险提示：具备基于历史数据挖掘的预警标签建立功能，当某类问题出现频次异常升高或普遍存在时，自动打标提醒，提示重点质量问题。</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1.2.5质检反馈意见智能生成：具备依据预设规则自动生成质检反馈意见单功能。</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b/>
          <w:bCs/>
          <w:kern w:val="2"/>
          <w:sz w:val="21"/>
          <w:szCs w:val="22"/>
          <w:highlight w:val="none"/>
          <w:lang w:val="en-US" w:eastAsia="zh-CN" w:bidi="ar-SA"/>
        </w:rPr>
        <w:t>1.3测绘质检报告智能输出模块</w:t>
      </w:r>
      <w:r>
        <w:rPr>
          <w:rFonts w:hint="eastAsia" w:hAnsi="宋体" w:cs="宋体"/>
          <w:kern w:val="2"/>
          <w:sz w:val="21"/>
          <w:szCs w:val="22"/>
          <w:highlight w:val="none"/>
          <w:lang w:val="en-US" w:eastAsia="zh-CN" w:bidi="ar-SA"/>
        </w:rPr>
        <w:t>：融合自然语言处理技术，构建集信息自动抽取、模板自适应匹配、内容智能生成、人机协同编辑于一体的质检报告智能输出系统。</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1.3.1项目基本信息智能抽取：具备面向技术文档类非结构化文本的语义解析功能，实现项目名称、承担单位、测区概况、主要质量问题等关键信息的自动识别与结构化提取。</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1.3.2报告模板库和质检参数信息库构建：支持标准报告模板库和质检参数信息库存储管理，支持根据成果类型自适应匹配报告模板并自动关联质量检查元素与评价内容。</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default"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1.3.3报告内容智能生成与可视化协同编辑：支持质检报告核心章节自动化生成，提供用户友好交互界面和可视化呈现，支持在线修改、编辑和确认。</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2.验收和支付（验收前，中标人须提供完整的技术资料（如有），包括产品中文说明书、中文用户手册及其他相关文件资料）：</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2.1项目实施完成后，系统开发整体各项指标满足询价技术要求，采购人将同成交人按合同规定有关条款进行逐一验证，不满足采购人的使用，采购人将不予验收通过。</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0"/>
        <w:textAlignment w:val="auto"/>
        <w:outlineLvl w:val="9"/>
        <w:rPr>
          <w:rFonts w:hint="default"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2.2成交人按照采购人要求开具正式发票。成</w:t>
      </w:r>
      <w:bookmarkStart w:id="0" w:name="_GoBack"/>
      <w:bookmarkEnd w:id="0"/>
      <w:r>
        <w:rPr>
          <w:rFonts w:hint="eastAsia" w:hAnsi="宋体" w:cs="宋体"/>
          <w:kern w:val="2"/>
          <w:sz w:val="21"/>
          <w:szCs w:val="22"/>
          <w:highlight w:val="none"/>
          <w:lang w:val="en-US" w:eastAsia="zh-CN" w:bidi="ar-SA"/>
        </w:rPr>
        <w:t>交人分节点供货验收，项目中期验收和终验合格后，按50%比例分两期支付货款。</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3.售后服务要求：</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3.1质保期：质保期1年，自验收合格后起算；质保期内，须按合同条款提供免费服务。</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3.2服务的响应时间：成交人应提供7×24小时的技术服务，在接到采购人故障通知后应在4小时内作出电话响应，在24小时内给予解决方案并视情况委派专业技术人员到达现场(费用由成交人承担)进行服务。</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3.3质保期结束后，中标人还应在4小时内响应用户的技术服务要求，服务费用将由用户根据市场情况做出决定。</w:t>
      </w:r>
    </w:p>
    <w:p>
      <w:pPr>
        <w:pStyle w:val="12"/>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textAlignment w:val="auto"/>
        <w:outlineLvl w:val="9"/>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报价清单</w:t>
      </w:r>
    </w:p>
    <w:p>
      <w:pPr>
        <w:pStyle w:val="14"/>
        <w:spacing w:line="360" w:lineRule="auto"/>
        <w:jc w:val="right"/>
        <w:rPr>
          <w:rFonts w:hint="eastAsia" w:ascii="宋体" w:hAnsi="宋体" w:eastAsia="宋体"/>
          <w:sz w:val="24"/>
          <w:lang w:val="en-US" w:eastAsia="zh-CN"/>
        </w:rPr>
      </w:pPr>
      <w:r>
        <w:rPr>
          <w:rFonts w:hint="eastAsia" w:ascii="宋体" w:hAnsi="宋体" w:eastAsia="宋体"/>
          <w:sz w:val="24"/>
          <w:lang w:eastAsia="zh-CN"/>
        </w:rPr>
        <w:t>货币</w:t>
      </w:r>
      <w:r>
        <w:rPr>
          <w:rFonts w:hint="eastAsia" w:ascii="宋体" w:hAnsi="宋体" w:eastAsia="宋体"/>
          <w:sz w:val="24"/>
        </w:rPr>
        <w:t>单位：元</w:t>
      </w:r>
      <w:r>
        <w:rPr>
          <w:rFonts w:hint="eastAsia" w:ascii="宋体" w:hAnsi="宋体" w:eastAsia="宋体"/>
          <w:sz w:val="24"/>
          <w:lang w:val="en-US" w:eastAsia="zh-CN"/>
        </w:rPr>
        <w:t>/人民币</w:t>
      </w:r>
    </w:p>
    <w:tbl>
      <w:tblPr>
        <w:tblStyle w:val="11"/>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6"/>
        <w:gridCol w:w="838"/>
        <w:gridCol w:w="747"/>
        <w:gridCol w:w="872"/>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9" w:hRule="atLeast"/>
        </w:trPr>
        <w:tc>
          <w:tcPr>
            <w:tcW w:w="5206" w:type="dxa"/>
            <w:tcBorders>
              <w:tl2br w:val="single" w:color="auto" w:sz="4" w:space="0"/>
            </w:tcBorders>
          </w:tcPr>
          <w:p>
            <w:pPr>
              <w:pStyle w:val="14"/>
              <w:ind w:firstLine="720" w:firstLineChars="300"/>
              <w:jc w:val="center"/>
              <w:rPr>
                <w:rFonts w:ascii="宋体" w:hAnsi="宋体" w:eastAsia="宋体"/>
                <w:sz w:val="24"/>
              </w:rPr>
            </w:pPr>
            <w:r>
              <w:rPr>
                <w:rFonts w:hint="eastAsia" w:ascii="宋体" w:hAnsi="宋体" w:eastAsia="宋体"/>
                <w:sz w:val="24"/>
              </w:rPr>
              <w:t>报价内容</w:t>
            </w:r>
          </w:p>
          <w:p>
            <w:pPr>
              <w:jc w:val="center"/>
              <w:rPr>
                <w:rFonts w:ascii="宋体" w:hAnsi="宋体" w:eastAsia="宋体"/>
                <w:sz w:val="24"/>
              </w:rPr>
            </w:pPr>
          </w:p>
          <w:p>
            <w:pPr>
              <w:rPr>
                <w:rFonts w:ascii="宋体" w:hAnsi="宋体" w:eastAsia="宋体"/>
                <w:sz w:val="24"/>
              </w:rPr>
            </w:pPr>
            <w:r>
              <w:rPr>
                <w:rFonts w:hint="eastAsia" w:ascii="宋体" w:hAnsi="宋体" w:eastAsia="宋体"/>
                <w:sz w:val="24"/>
              </w:rPr>
              <w:t>服务内容</w:t>
            </w:r>
          </w:p>
        </w:tc>
        <w:tc>
          <w:tcPr>
            <w:tcW w:w="838" w:type="dxa"/>
            <w:vAlign w:val="center"/>
          </w:tcPr>
          <w:p>
            <w:pPr>
              <w:pStyle w:val="14"/>
              <w:jc w:val="center"/>
              <w:rPr>
                <w:rFonts w:hint="eastAsia" w:ascii="宋体" w:hAnsi="宋体" w:eastAsia="宋体"/>
                <w:sz w:val="24"/>
                <w:lang w:val="en-US" w:eastAsia="zh-CN"/>
              </w:rPr>
            </w:pPr>
            <w:r>
              <w:rPr>
                <w:rFonts w:hint="eastAsia" w:ascii="宋体" w:hAnsi="宋体" w:eastAsia="宋体"/>
                <w:sz w:val="24"/>
                <w:lang w:val="en-US" w:eastAsia="zh-CN"/>
              </w:rPr>
              <w:t>数量</w:t>
            </w:r>
          </w:p>
          <w:p>
            <w:pPr>
              <w:pStyle w:val="14"/>
              <w:jc w:val="center"/>
              <w:rPr>
                <w:rFonts w:hint="eastAsia" w:ascii="宋体" w:hAnsi="宋体" w:eastAsia="宋体"/>
                <w:sz w:val="24"/>
                <w:lang w:val="en-US" w:eastAsia="zh-CN"/>
              </w:rPr>
            </w:pPr>
            <w:r>
              <w:rPr>
                <w:rFonts w:hint="eastAsia" w:ascii="宋体" w:hAnsi="宋体" w:eastAsia="宋体"/>
                <w:sz w:val="24"/>
                <w:lang w:val="en-US" w:eastAsia="zh-CN"/>
              </w:rPr>
              <w:t>（项）</w:t>
            </w:r>
          </w:p>
        </w:tc>
        <w:tc>
          <w:tcPr>
            <w:tcW w:w="747" w:type="dxa"/>
            <w:vAlign w:val="center"/>
          </w:tcPr>
          <w:p>
            <w:pPr>
              <w:pStyle w:val="14"/>
              <w:jc w:val="center"/>
              <w:rPr>
                <w:rFonts w:hint="eastAsia" w:ascii="宋体" w:hAnsi="宋体" w:eastAsia="宋体"/>
                <w:sz w:val="24"/>
                <w:lang w:eastAsia="zh-CN"/>
              </w:rPr>
            </w:pPr>
            <w:r>
              <w:rPr>
                <w:rFonts w:hint="eastAsia" w:ascii="宋体" w:hAnsi="宋体" w:eastAsia="宋体"/>
                <w:sz w:val="24"/>
                <w:lang w:eastAsia="zh-CN"/>
              </w:rPr>
              <w:t>单价</w:t>
            </w:r>
          </w:p>
        </w:tc>
        <w:tc>
          <w:tcPr>
            <w:tcW w:w="872" w:type="dxa"/>
            <w:vAlign w:val="center"/>
          </w:tcPr>
          <w:p>
            <w:pPr>
              <w:pStyle w:val="14"/>
              <w:jc w:val="center"/>
              <w:rPr>
                <w:rFonts w:hint="eastAsia" w:ascii="宋体" w:hAnsi="宋体" w:eastAsia="宋体"/>
                <w:sz w:val="24"/>
                <w:lang w:eastAsia="zh-CN"/>
              </w:rPr>
            </w:pPr>
            <w:r>
              <w:rPr>
                <w:rFonts w:hint="eastAsia" w:ascii="宋体" w:hAnsi="宋体" w:eastAsia="宋体"/>
                <w:sz w:val="24"/>
                <w:lang w:eastAsia="zh-CN"/>
              </w:rPr>
              <w:t>总价</w:t>
            </w:r>
          </w:p>
        </w:tc>
        <w:tc>
          <w:tcPr>
            <w:tcW w:w="855" w:type="dxa"/>
            <w:vAlign w:val="center"/>
          </w:tcPr>
          <w:p>
            <w:pPr>
              <w:pStyle w:val="14"/>
              <w:jc w:val="center"/>
              <w:rPr>
                <w:rFonts w:hint="eastAsia" w:ascii="宋体" w:hAnsi="宋体" w:eastAsia="宋体"/>
                <w:sz w:val="24"/>
                <w:lang w:eastAsia="zh-CN"/>
              </w:rPr>
            </w:pPr>
            <w:r>
              <w:rPr>
                <w:rFonts w:hint="eastAsia" w:ascii="宋体" w:hAnsi="宋体" w:eastAsia="宋体"/>
                <w:sz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9" w:hRule="atLeast"/>
        </w:trPr>
        <w:tc>
          <w:tcPr>
            <w:tcW w:w="5206" w:type="dxa"/>
          </w:tcPr>
          <w:p>
            <w:pPr>
              <w:pStyle w:val="12"/>
              <w:spacing w:line="440" w:lineRule="exact"/>
              <w:ind w:firstLineChars="200"/>
              <w:rPr>
                <w:rFonts w:hint="eastAsia" w:ascii="宋体" w:hAnsi="宋体" w:cs="宋体"/>
                <w:kern w:val="2"/>
                <w:sz w:val="21"/>
                <w:szCs w:val="21"/>
                <w:highlight w:val="none"/>
                <w:lang w:val="en-US" w:eastAsia="zh-CN" w:bidi="ar-SA"/>
              </w:rPr>
            </w:pPr>
            <w:r>
              <w:rPr>
                <w:rFonts w:hint="eastAsia" w:ascii="宋体" w:hAnsi="宋体" w:cs="宋体"/>
                <w:kern w:val="2"/>
                <w:sz w:val="21"/>
                <w:szCs w:val="21"/>
                <w:highlight w:val="none"/>
                <w:lang w:val="en-US" w:eastAsia="zh-CN" w:bidi="ar-SA"/>
              </w:rPr>
              <w:t>我单位所提供的技术开发服务能够</w:t>
            </w:r>
            <w:r>
              <w:rPr>
                <w:rFonts w:hint="eastAsia" w:ascii="宋体" w:hAnsi="宋体" w:eastAsia="宋体" w:cs="宋体"/>
                <w:kern w:val="2"/>
                <w:sz w:val="21"/>
                <w:szCs w:val="21"/>
                <w:highlight w:val="none"/>
                <w:lang w:val="en-US" w:eastAsia="zh-CN" w:bidi="ar-SA"/>
              </w:rPr>
              <w:t>满足下</w:t>
            </w:r>
            <w:r>
              <w:rPr>
                <w:rFonts w:hint="eastAsia" w:ascii="宋体" w:hAnsi="宋体" w:cs="宋体"/>
                <w:kern w:val="2"/>
                <w:sz w:val="21"/>
                <w:szCs w:val="21"/>
                <w:highlight w:val="none"/>
                <w:lang w:val="en-US" w:eastAsia="zh-CN" w:bidi="ar-SA"/>
              </w:rPr>
              <w:t>述</w:t>
            </w:r>
            <w:r>
              <w:rPr>
                <w:rFonts w:hint="eastAsia" w:ascii="宋体" w:hAnsi="宋体" w:eastAsia="宋体" w:cs="宋体"/>
                <w:kern w:val="2"/>
                <w:sz w:val="21"/>
                <w:szCs w:val="21"/>
                <w:highlight w:val="none"/>
                <w:lang w:val="en-US" w:eastAsia="zh-CN" w:bidi="ar-SA"/>
              </w:rPr>
              <w:t>技术</w:t>
            </w:r>
            <w:r>
              <w:rPr>
                <w:rFonts w:hint="eastAsia" w:ascii="宋体" w:hAnsi="宋体" w:cs="宋体"/>
                <w:kern w:val="2"/>
                <w:sz w:val="21"/>
                <w:szCs w:val="21"/>
                <w:highlight w:val="none"/>
                <w:lang w:val="en-US" w:eastAsia="zh-CN" w:bidi="ar-SA"/>
              </w:rPr>
              <w:t>和服务</w:t>
            </w:r>
            <w:r>
              <w:rPr>
                <w:rFonts w:hint="eastAsia" w:ascii="宋体" w:hAnsi="宋体" w:eastAsia="宋体" w:cs="宋体"/>
                <w:kern w:val="2"/>
                <w:sz w:val="21"/>
                <w:szCs w:val="21"/>
                <w:highlight w:val="none"/>
                <w:lang w:val="en-US" w:eastAsia="zh-CN" w:bidi="ar-SA"/>
              </w:rPr>
              <w:t>要求，能够</w:t>
            </w:r>
            <w:r>
              <w:rPr>
                <w:rFonts w:hint="eastAsia" w:ascii="宋体" w:hAnsi="宋体" w:cs="宋体"/>
                <w:kern w:val="2"/>
                <w:sz w:val="21"/>
                <w:szCs w:val="21"/>
                <w:highlight w:val="none"/>
                <w:lang w:val="en-US" w:eastAsia="zh-CN" w:bidi="ar-SA"/>
              </w:rPr>
              <w:t>实现贵单位对系统</w:t>
            </w:r>
            <w:r>
              <w:rPr>
                <w:rFonts w:hint="eastAsia" w:ascii="宋体" w:hAnsi="宋体" w:eastAsia="宋体" w:cs="宋体"/>
                <w:kern w:val="2"/>
                <w:sz w:val="21"/>
                <w:szCs w:val="21"/>
                <w:highlight w:val="none"/>
                <w:lang w:val="en-US" w:eastAsia="zh-CN" w:bidi="ar-SA"/>
              </w:rPr>
              <w:t>各功能模块</w:t>
            </w:r>
            <w:r>
              <w:rPr>
                <w:rFonts w:hint="eastAsia" w:ascii="宋体" w:hAnsi="宋体" w:cs="宋体"/>
                <w:kern w:val="2"/>
                <w:sz w:val="21"/>
                <w:szCs w:val="21"/>
                <w:highlight w:val="none"/>
                <w:lang w:val="en-US" w:eastAsia="zh-CN" w:bidi="ar-SA"/>
              </w:rPr>
              <w:t>的需求：</w:t>
            </w:r>
          </w:p>
          <w:p>
            <w:pPr>
              <w:pStyle w:val="12"/>
              <w:spacing w:line="440" w:lineRule="exact"/>
              <w:ind w:firstLineChars="200"/>
              <w:rPr>
                <w:rFonts w:hint="default" w:ascii="宋体" w:hAnsi="宋体" w:cs="宋体"/>
                <w:kern w:val="2"/>
                <w:sz w:val="21"/>
                <w:szCs w:val="21"/>
                <w:highlight w:val="none"/>
                <w:lang w:val="en-US" w:eastAsia="zh-CN" w:bidi="ar-SA"/>
              </w:rPr>
            </w:pPr>
            <w:r>
              <w:rPr>
                <w:rFonts w:hint="eastAsia" w:ascii="宋体" w:hAnsi="宋体" w:cs="宋体"/>
                <w:kern w:val="2"/>
                <w:sz w:val="21"/>
                <w:szCs w:val="21"/>
                <w:highlight w:val="none"/>
                <w:lang w:val="en-US" w:eastAsia="zh-CN" w:bidi="ar-SA"/>
              </w:rPr>
              <w:t>一、技术要求</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hAnsi="宋体" w:eastAsia="宋体" w:cs="宋体"/>
                <w:color w:val="auto"/>
                <w:kern w:val="2"/>
                <w:sz w:val="21"/>
                <w:szCs w:val="22"/>
                <w:highlight w:val="none"/>
                <w:lang w:val="en-US" w:eastAsia="zh-CN" w:bidi="ar-SA"/>
              </w:rPr>
            </w:pPr>
            <w:r>
              <w:rPr>
                <w:rFonts w:hint="eastAsia" w:hAnsi="宋体" w:eastAsia="宋体" w:cs="宋体"/>
                <w:color w:val="auto"/>
                <w:kern w:val="2"/>
                <w:sz w:val="21"/>
                <w:szCs w:val="22"/>
                <w:highlight w:val="none"/>
                <w:lang w:val="en-US" w:eastAsia="zh-CN" w:bidi="ar-SA"/>
              </w:rPr>
              <w:t>1.测绘质检软件综合管理模块</w:t>
            </w:r>
            <w:r>
              <w:rPr>
                <w:rFonts w:hint="eastAsia" w:hAnsi="宋体" w:cs="宋体"/>
                <w:color w:val="auto"/>
                <w:kern w:val="2"/>
                <w:sz w:val="21"/>
                <w:szCs w:val="22"/>
                <w:highlight w:val="none"/>
                <w:lang w:val="en-US" w:eastAsia="zh-CN" w:bidi="ar-SA"/>
              </w:rPr>
              <w:t>：基于“一入口+N模块”集成化架构，实现常用质检软件的集中管理、快速调用和统一监控。智能软件检测支持注册表自动扫描、常用软件兼容识别及自定义扫描规则；软件仓库管理支持软件列表展示、分类管理及运行状态监控；快速启动中心支持一键启动、快捷键操作及启动参数配置。</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hAnsi="宋体" w:cs="宋体"/>
                <w:color w:val="auto"/>
                <w:kern w:val="2"/>
                <w:sz w:val="21"/>
                <w:szCs w:val="22"/>
                <w:highlight w:val="none"/>
                <w:lang w:val="en-US" w:eastAsia="zh-CN" w:bidi="ar-SA"/>
              </w:rPr>
            </w:pPr>
            <w:r>
              <w:rPr>
                <w:rFonts w:hint="eastAsia" w:hAnsi="宋体" w:eastAsia="宋体" w:cs="宋体"/>
                <w:color w:val="auto"/>
                <w:kern w:val="2"/>
                <w:sz w:val="21"/>
                <w:szCs w:val="22"/>
                <w:highlight w:val="none"/>
                <w:lang w:val="en-US" w:eastAsia="zh-CN" w:bidi="ar-SA"/>
              </w:rPr>
              <w:t>2.测绘质检信息智能分析模块</w:t>
            </w:r>
            <w:r>
              <w:rPr>
                <w:rFonts w:hint="eastAsia" w:hAnsi="宋体" w:cs="宋体"/>
                <w:color w:val="auto"/>
                <w:kern w:val="2"/>
                <w:sz w:val="21"/>
                <w:szCs w:val="22"/>
                <w:highlight w:val="none"/>
                <w:lang w:val="en-US" w:eastAsia="zh-CN" w:bidi="ar-SA"/>
              </w:rPr>
              <w:t>：支持质检信息的结构化存储、多维度分析、智能化预警和辅助决策，具备记录上传、格式转换与标准化处理功能，可按项目批次、成果类型、区域、单位等要素自动统计并生成图表，支持自定义条件组合查询，并能基于历史数据自动预警、依据规则生成质检反馈意见单。</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default" w:hAnsi="宋体" w:cs="宋体"/>
                <w:color w:val="FF0000"/>
                <w:kern w:val="2"/>
                <w:sz w:val="21"/>
                <w:szCs w:val="22"/>
                <w:highlight w:val="none"/>
                <w:lang w:val="en-US" w:eastAsia="zh-CN" w:bidi="ar-SA"/>
              </w:rPr>
            </w:pPr>
            <w:r>
              <w:rPr>
                <w:rFonts w:hint="eastAsia" w:hAnsi="宋体" w:cs="宋体"/>
                <w:color w:val="auto"/>
                <w:kern w:val="2"/>
                <w:sz w:val="21"/>
                <w:szCs w:val="22"/>
                <w:highlight w:val="none"/>
                <w:lang w:val="en-US" w:eastAsia="zh-CN" w:bidi="ar-SA"/>
              </w:rPr>
              <w:t>3.测绘质检报告智能输出模块：融合自然语言处理技术，构建集信息自动抽取、模板自适应匹配、内容智能生成、人机协同编辑于一体的质检报告智能输出系统，实现项目基本信息自动识别提取、报告模板与质检参数信息存储管理及成果类型自适应匹配、报告核心章节自动化生成与在线协同编辑等功能。</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二、服务要求：</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1.质保期：质保期1年，自验收合格后起算；质保期内，须按合同条款提供免费服务。</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hAnsi="宋体" w:cs="宋体"/>
                <w:kern w:val="2"/>
                <w:sz w:val="21"/>
                <w:szCs w:val="22"/>
                <w:highlight w:val="none"/>
                <w:lang w:val="en-US" w:eastAsia="zh-CN" w:bidi="ar-SA"/>
              </w:rPr>
            </w:pPr>
            <w:r>
              <w:rPr>
                <w:rFonts w:hint="eastAsia" w:hAnsi="宋体" w:cs="宋体"/>
                <w:kern w:val="2"/>
                <w:sz w:val="21"/>
                <w:szCs w:val="22"/>
                <w:highlight w:val="none"/>
                <w:lang w:val="en-US" w:eastAsia="zh-CN" w:bidi="ar-SA"/>
              </w:rPr>
              <w:t>2.服务的响应时间：成交人应提供7×24小时的技术服务，在接到采购人故障通知后应在4小时内作出电话响应，在24小时内给予解决方案并视情况委派专业技术人员到达现场(费用由成交人承担)进行服务。</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pPr>
            <w:r>
              <w:rPr>
                <w:rFonts w:hint="eastAsia" w:hAnsi="宋体" w:cs="宋体"/>
                <w:kern w:val="2"/>
                <w:sz w:val="21"/>
                <w:szCs w:val="22"/>
                <w:highlight w:val="none"/>
                <w:lang w:val="en-US" w:eastAsia="zh-CN" w:bidi="ar-SA"/>
              </w:rPr>
              <w:t>3.质保期结束后，中标人还应在4小时内响应用户的技术服务要求，服务费用将由用户根据市场情况做出决定。</w:t>
            </w:r>
          </w:p>
          <w:p>
            <w:pPr>
              <w:pStyle w:val="12"/>
              <w:spacing w:line="440" w:lineRule="exact"/>
              <w:rPr>
                <w:rFonts w:hint="eastAsia" w:hAnsi="宋体" w:eastAsia="宋体" w:cs="宋体"/>
                <w:color w:val="FF0000"/>
                <w:szCs w:val="22"/>
                <w:lang w:val="en-US" w:eastAsia="zh-CN"/>
              </w:rPr>
            </w:pPr>
          </w:p>
        </w:tc>
        <w:tc>
          <w:tcPr>
            <w:tcW w:w="838" w:type="dxa"/>
          </w:tcPr>
          <w:p>
            <w:pPr>
              <w:pStyle w:val="14"/>
            </w:pPr>
          </w:p>
          <w:p>
            <w:pPr>
              <w:pStyle w:val="14"/>
              <w:jc w:val="center"/>
              <w:rPr>
                <w:rFonts w:hint="eastAsia"/>
                <w:lang w:val="en-US" w:eastAsia="zh-CN"/>
              </w:rPr>
            </w:pPr>
          </w:p>
          <w:p>
            <w:pPr>
              <w:pStyle w:val="14"/>
              <w:jc w:val="center"/>
              <w:rPr>
                <w:rFonts w:hint="eastAsia"/>
                <w:lang w:val="en-US" w:eastAsia="zh-CN"/>
              </w:rPr>
            </w:pPr>
          </w:p>
          <w:p>
            <w:pPr>
              <w:pStyle w:val="14"/>
              <w:jc w:val="center"/>
              <w:rPr>
                <w:rFonts w:hint="eastAsia"/>
                <w:lang w:val="en-US" w:eastAsia="zh-CN"/>
              </w:rPr>
            </w:pPr>
          </w:p>
          <w:p>
            <w:pPr>
              <w:pStyle w:val="14"/>
              <w:jc w:val="center"/>
              <w:rPr>
                <w:rFonts w:hint="eastAsia"/>
                <w:lang w:val="en-US" w:eastAsia="zh-CN"/>
              </w:rPr>
            </w:pPr>
          </w:p>
          <w:p>
            <w:pPr>
              <w:pStyle w:val="14"/>
              <w:jc w:val="center"/>
              <w:rPr>
                <w:rFonts w:hint="eastAsia"/>
                <w:lang w:val="en-US" w:eastAsia="zh-CN"/>
              </w:rPr>
            </w:pPr>
          </w:p>
          <w:p>
            <w:pPr>
              <w:pStyle w:val="14"/>
              <w:jc w:val="center"/>
              <w:rPr>
                <w:rFonts w:hint="eastAsia"/>
                <w:lang w:val="en-US" w:eastAsia="zh-CN"/>
              </w:rPr>
            </w:pPr>
          </w:p>
          <w:p>
            <w:pPr>
              <w:pStyle w:val="14"/>
              <w:jc w:val="center"/>
              <w:rPr>
                <w:rFonts w:hint="eastAsia"/>
                <w:lang w:val="en-US" w:eastAsia="zh-CN"/>
              </w:rPr>
            </w:pPr>
          </w:p>
          <w:p>
            <w:pPr>
              <w:pStyle w:val="14"/>
              <w:jc w:val="center"/>
              <w:rPr>
                <w:rFonts w:hint="eastAsia"/>
                <w:lang w:val="en-US" w:eastAsia="zh-CN"/>
              </w:rPr>
            </w:pPr>
          </w:p>
          <w:p>
            <w:pPr>
              <w:pStyle w:val="14"/>
              <w:jc w:val="center"/>
              <w:rPr>
                <w:rFonts w:hint="eastAsia" w:eastAsiaTheme="minorEastAsia"/>
                <w:lang w:val="en-US" w:eastAsia="zh-CN"/>
              </w:rPr>
            </w:pPr>
            <w:r>
              <w:rPr>
                <w:rFonts w:hint="eastAsia"/>
                <w:lang w:val="en-US" w:eastAsia="zh-CN"/>
              </w:rPr>
              <w:t>1</w:t>
            </w:r>
          </w:p>
        </w:tc>
        <w:tc>
          <w:tcPr>
            <w:tcW w:w="747" w:type="dxa"/>
          </w:tcPr>
          <w:p>
            <w:pPr>
              <w:pStyle w:val="14"/>
            </w:pPr>
          </w:p>
        </w:tc>
        <w:tc>
          <w:tcPr>
            <w:tcW w:w="872" w:type="dxa"/>
          </w:tcPr>
          <w:p>
            <w:pPr>
              <w:pStyle w:val="14"/>
            </w:pPr>
          </w:p>
        </w:tc>
        <w:tc>
          <w:tcPr>
            <w:tcW w:w="855" w:type="dxa"/>
          </w:tcPr>
          <w:p>
            <w:pPr>
              <w:pStyle w:val="14"/>
            </w:pPr>
          </w:p>
        </w:tc>
      </w:tr>
    </w:tbl>
    <w:p>
      <w:pPr>
        <w:pStyle w:val="12"/>
        <w:keepNext w:val="0"/>
        <w:keepLines w:val="0"/>
        <w:pageBreakBefore w:val="0"/>
        <w:widowControl w:val="0"/>
        <w:numPr>
          <w:numId w:val="0"/>
        </w:numPr>
        <w:kinsoku/>
        <w:wordWrap/>
        <w:overflowPunct/>
        <w:topLinePunct w:val="0"/>
        <w:autoSpaceDE/>
        <w:autoSpaceDN/>
        <w:bidi w:val="0"/>
        <w:adjustRightInd/>
        <w:snapToGrid/>
        <w:spacing w:line="440" w:lineRule="exact"/>
        <w:ind w:leftChars="0"/>
        <w:textAlignment w:val="auto"/>
        <w:outlineLvl w:val="9"/>
        <w:rPr>
          <w:rFonts w:hint="eastAsia" w:ascii="宋体" w:hAnsi="宋体" w:eastAsia="宋体" w:cs="宋体"/>
          <w:b/>
          <w:bCs/>
          <w:kern w:val="2"/>
          <w:sz w:val="24"/>
          <w:szCs w:val="24"/>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9644BF"/>
    <w:multiLevelType w:val="singleLevel"/>
    <w:tmpl w:val="509644B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xZDRjMTg3MDI5NDg1ZGYyMDE0NjQ4MWJkYWEyNTgifQ=="/>
  </w:docVars>
  <w:rsids>
    <w:rsidRoot w:val="00000000"/>
    <w:rsid w:val="009005F2"/>
    <w:rsid w:val="03F00227"/>
    <w:rsid w:val="04444F5A"/>
    <w:rsid w:val="048605CC"/>
    <w:rsid w:val="06CB49BC"/>
    <w:rsid w:val="09047783"/>
    <w:rsid w:val="09DB1659"/>
    <w:rsid w:val="0A037FC9"/>
    <w:rsid w:val="0A40746F"/>
    <w:rsid w:val="0AAB6B93"/>
    <w:rsid w:val="0C061FF2"/>
    <w:rsid w:val="0DEC36BC"/>
    <w:rsid w:val="0DF02531"/>
    <w:rsid w:val="0FBF6594"/>
    <w:rsid w:val="10FD39C4"/>
    <w:rsid w:val="11083B6E"/>
    <w:rsid w:val="12EA61CA"/>
    <w:rsid w:val="14661880"/>
    <w:rsid w:val="14C75076"/>
    <w:rsid w:val="14DE09FE"/>
    <w:rsid w:val="14E15B10"/>
    <w:rsid w:val="154A0419"/>
    <w:rsid w:val="15845338"/>
    <w:rsid w:val="15F258DD"/>
    <w:rsid w:val="16C94DC1"/>
    <w:rsid w:val="188C387F"/>
    <w:rsid w:val="1B2A02B6"/>
    <w:rsid w:val="1CBC65EB"/>
    <w:rsid w:val="1CF5089D"/>
    <w:rsid w:val="1E560BB7"/>
    <w:rsid w:val="20251568"/>
    <w:rsid w:val="208726AC"/>
    <w:rsid w:val="228F6446"/>
    <w:rsid w:val="26E7357D"/>
    <w:rsid w:val="270A69E3"/>
    <w:rsid w:val="27473793"/>
    <w:rsid w:val="278A5EBE"/>
    <w:rsid w:val="284657F9"/>
    <w:rsid w:val="2942529C"/>
    <w:rsid w:val="2C28226B"/>
    <w:rsid w:val="2D5914C0"/>
    <w:rsid w:val="2ED51684"/>
    <w:rsid w:val="33B34C52"/>
    <w:rsid w:val="33B657EB"/>
    <w:rsid w:val="35884188"/>
    <w:rsid w:val="37294C63"/>
    <w:rsid w:val="372E5DD5"/>
    <w:rsid w:val="37804ADE"/>
    <w:rsid w:val="380F01A6"/>
    <w:rsid w:val="3AD60AE7"/>
    <w:rsid w:val="3D141F11"/>
    <w:rsid w:val="3EAB0654"/>
    <w:rsid w:val="3EBC5C4D"/>
    <w:rsid w:val="41C87080"/>
    <w:rsid w:val="424E557E"/>
    <w:rsid w:val="42617A9D"/>
    <w:rsid w:val="42AB6E74"/>
    <w:rsid w:val="430D13D6"/>
    <w:rsid w:val="477A1DF8"/>
    <w:rsid w:val="4ABA5EA6"/>
    <w:rsid w:val="4B700C5B"/>
    <w:rsid w:val="4C121D12"/>
    <w:rsid w:val="4C9B5D5D"/>
    <w:rsid w:val="4D53613E"/>
    <w:rsid w:val="4DFB383B"/>
    <w:rsid w:val="4EE002CE"/>
    <w:rsid w:val="5139564B"/>
    <w:rsid w:val="51D463A8"/>
    <w:rsid w:val="51E768B4"/>
    <w:rsid w:val="52171E30"/>
    <w:rsid w:val="54A31759"/>
    <w:rsid w:val="55B43B47"/>
    <w:rsid w:val="56C20ED7"/>
    <w:rsid w:val="578F0976"/>
    <w:rsid w:val="59C83A10"/>
    <w:rsid w:val="5B026F60"/>
    <w:rsid w:val="5E1F50F4"/>
    <w:rsid w:val="5E63714B"/>
    <w:rsid w:val="5EA06D09"/>
    <w:rsid w:val="5EE66E12"/>
    <w:rsid w:val="5FA34A51"/>
    <w:rsid w:val="5FEB699B"/>
    <w:rsid w:val="61A9322B"/>
    <w:rsid w:val="64D10110"/>
    <w:rsid w:val="65B37C6A"/>
    <w:rsid w:val="65E10333"/>
    <w:rsid w:val="66F81DBB"/>
    <w:rsid w:val="672C55DE"/>
    <w:rsid w:val="68073401"/>
    <w:rsid w:val="6A667059"/>
    <w:rsid w:val="6D192AA9"/>
    <w:rsid w:val="6F810491"/>
    <w:rsid w:val="6FB766EB"/>
    <w:rsid w:val="6FD1766A"/>
    <w:rsid w:val="6FF010BE"/>
    <w:rsid w:val="71881FAB"/>
    <w:rsid w:val="7232182F"/>
    <w:rsid w:val="73906F96"/>
    <w:rsid w:val="74E97204"/>
    <w:rsid w:val="75A03D67"/>
    <w:rsid w:val="763C2B0F"/>
    <w:rsid w:val="774E1408"/>
    <w:rsid w:val="79890A04"/>
    <w:rsid w:val="7A017407"/>
    <w:rsid w:val="7DB87453"/>
    <w:rsid w:val="7E2E7A36"/>
    <w:rsid w:val="7F407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unhideWhenUsed/>
    <w:qFormat/>
    <w:uiPriority w:val="0"/>
    <w:pPr>
      <w:ind w:left="200" w:leftChars="200" w:firstLine="420" w:firstLineChars="200"/>
    </w:pPr>
    <w:rPr>
      <w:szCs w:val="20"/>
    </w:rPr>
  </w:style>
  <w:style w:type="paragraph" w:styleId="3">
    <w:name w:val="Body Text Indent"/>
    <w:basedOn w:val="1"/>
    <w:next w:val="4"/>
    <w:qFormat/>
    <w:uiPriority w:val="99"/>
    <w:pPr>
      <w:spacing w:after="120"/>
      <w:ind w:left="420"/>
    </w:pPr>
  </w:style>
  <w:style w:type="paragraph" w:styleId="4">
    <w:name w:val="envelope return"/>
    <w:basedOn w:val="1"/>
    <w:qFormat/>
    <w:uiPriority w:val="0"/>
    <w:pPr>
      <w:snapToGrid w:val="0"/>
    </w:pPr>
    <w:rPr>
      <w:rFonts w:ascii="Arial" w:hAnsi="Arial"/>
    </w:rPr>
  </w:style>
  <w:style w:type="paragraph" w:styleId="6">
    <w:name w:val="Plain Text"/>
    <w:basedOn w:val="1"/>
    <w:qFormat/>
    <w:uiPriority w:val="0"/>
    <w:pPr>
      <w:autoSpaceDE w:val="0"/>
      <w:autoSpaceDN w:val="0"/>
      <w:adjustRightInd w:val="0"/>
    </w:pPr>
    <w:rPr>
      <w:rFonts w:ascii="宋体"/>
      <w:kern w:val="0"/>
      <w:szCs w:val="21"/>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12">
    <w:name w:val="List Paragraph"/>
    <w:basedOn w:val="1"/>
    <w:qFormat/>
    <w:uiPriority w:val="0"/>
    <w:pPr>
      <w:ind w:firstLine="420"/>
    </w:pPr>
    <w:rPr>
      <w:szCs w:val="21"/>
    </w:rPr>
  </w:style>
  <w:style w:type="character" w:customStyle="1" w:styleId="13">
    <w:name w:val="font01"/>
    <w:basedOn w:val="8"/>
    <w:qFormat/>
    <w:uiPriority w:val="0"/>
    <w:rPr>
      <w:rFonts w:hint="eastAsia" w:ascii="宋体" w:hAnsi="宋体" w:eastAsia="宋体" w:cs="宋体"/>
      <w:color w:val="000000"/>
      <w:sz w:val="18"/>
      <w:szCs w:val="18"/>
      <w:u w:val="none"/>
    </w:rPr>
  </w:style>
  <w:style w:type="paragraph" w:styleId="14">
    <w:name w:val="No Spacing"/>
    <w:qFormat/>
    <w:uiPriority w:val="1"/>
    <w:pPr>
      <w:widowControl w:val="0"/>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1537</Words>
  <Characters>1742</Characters>
  <Lines>0</Lines>
  <Paragraphs>0</Paragraphs>
  <TotalTime>6</TotalTime>
  <ScaleCrop>false</ScaleCrop>
  <LinksUpToDate>false</LinksUpToDate>
  <CharactersWithSpaces>1757</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dc:creator>
  <cp:lastModifiedBy>admin</cp:lastModifiedBy>
  <dcterms:modified xsi:type="dcterms:W3CDTF">2026-09-28T01:37:37Z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ICV">
    <vt:lpwstr>A1476557119F4AC2BFC4D9F0D307F6EE</vt:lpwstr>
  </property>
  <property fmtid="{D5CDD505-2E9C-101B-9397-08002B2CF9AE}" pid="4" name="KSOTemplateDocerSaveRecord">
    <vt:lpwstr>eyJoZGlkIjoiOTI0NTkxOTY0ZDhiOTEwZmU3ODc4YTY2OTQxNTZmMmYiLCJ1c2VySWQiOiIxMDU1ODQwMzExIn0=</vt:lpwstr>
  </property>
</Properties>
</file>